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322B" w14:textId="77777777" w:rsidR="005C43F6" w:rsidRDefault="005C43F6">
      <w:pPr>
        <w:spacing w:after="0" w:line="240" w:lineRule="auto"/>
      </w:pPr>
      <w:r>
        <w:separator/>
      </w:r>
    </w:p>
  </w:endnote>
  <w:endnote w:type="continuationSeparator" w:id="0">
    <w:p w14:paraId="606ABB12" w14:textId="77777777" w:rsidR="005C43F6" w:rsidRDefault="005C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00F47B7D"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F74BF7">
      <w:rPr>
        <w:rFonts w:ascii="Cambria" w:hAnsi="Cambria" w:cs="Cambria"/>
        <w:b/>
        <w:bCs/>
        <w:color w:val="585858"/>
        <w:spacing w:val="-4"/>
        <w:lang w:val="pl-PL"/>
      </w:rPr>
      <w:t>5</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0956" w14:textId="77777777" w:rsidR="005C43F6" w:rsidRDefault="005C43F6">
      <w:pPr>
        <w:spacing w:after="0" w:line="240" w:lineRule="auto"/>
      </w:pPr>
      <w:r>
        <w:separator/>
      </w:r>
    </w:p>
  </w:footnote>
  <w:footnote w:type="continuationSeparator" w:id="0">
    <w:p w14:paraId="582F8C21" w14:textId="77777777" w:rsidR="005C43F6" w:rsidRDefault="005C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37E5F268"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Volume: 0</w:t>
    </w:r>
    <w:r w:rsidR="00F74BF7">
      <w:rPr>
        <w:color w:val="7F7F7F"/>
        <w:sz w:val="20"/>
        <w:szCs w:val="20"/>
      </w:rPr>
      <w:t>9</w:t>
    </w:r>
    <w:r w:rsidR="0033613C">
      <w:rPr>
        <w:color w:val="7F7F7F"/>
        <w:sz w:val="20"/>
        <w:szCs w:val="20"/>
      </w:rPr>
      <w:t xml:space="preserve"> Issue: </w:t>
    </w:r>
    <w:r w:rsidR="001912D7">
      <w:rPr>
        <w:color w:val="7F7F7F"/>
        <w:sz w:val="20"/>
        <w:szCs w:val="20"/>
      </w:rPr>
      <w:t>1</w:t>
    </w:r>
    <w:r w:rsidR="00FF7097">
      <w:rPr>
        <w:color w:val="7F7F7F"/>
        <w:sz w:val="20"/>
        <w:szCs w:val="20"/>
      </w:rPr>
      <w:t>2</w:t>
    </w:r>
    <w:r w:rsidR="0033613C">
      <w:rPr>
        <w:color w:val="7F7F7F"/>
        <w:sz w:val="20"/>
        <w:szCs w:val="20"/>
      </w:rPr>
      <w:t xml:space="preserve"> | </w:t>
    </w:r>
    <w:r w:rsidR="00FF7097">
      <w:rPr>
        <w:color w:val="7F7F7F"/>
        <w:sz w:val="20"/>
        <w:szCs w:val="20"/>
      </w:rPr>
      <w:t>Dec</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F74BF7">
      <w:rPr>
        <w:color w:val="7F7F7F"/>
        <w:sz w:val="20"/>
        <w:szCs w:val="20"/>
      </w:rPr>
      <w:t>5</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B23B01">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A250F8">
      <w:rPr>
        <w:color w:val="7F7F7F"/>
        <w:sz w:val="20"/>
        <w:szCs w:val="20"/>
      </w:rPr>
      <w:t>586</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FB6993">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30D6"/>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73B1"/>
    <w:rsid w:val="005375AA"/>
    <w:rsid w:val="00541FAA"/>
    <w:rsid w:val="00554170"/>
    <w:rsid w:val="00565A68"/>
    <w:rsid w:val="00573B40"/>
    <w:rsid w:val="00576BCD"/>
    <w:rsid w:val="00583869"/>
    <w:rsid w:val="005859D3"/>
    <w:rsid w:val="0058765D"/>
    <w:rsid w:val="00590459"/>
    <w:rsid w:val="00594609"/>
    <w:rsid w:val="005C43F6"/>
    <w:rsid w:val="005C46F1"/>
    <w:rsid w:val="005D0D84"/>
    <w:rsid w:val="005F0971"/>
    <w:rsid w:val="005F3359"/>
    <w:rsid w:val="005F61A6"/>
    <w:rsid w:val="00604959"/>
    <w:rsid w:val="00613B0C"/>
    <w:rsid w:val="00615581"/>
    <w:rsid w:val="006226A2"/>
    <w:rsid w:val="00623CED"/>
    <w:rsid w:val="0062579B"/>
    <w:rsid w:val="006302F1"/>
    <w:rsid w:val="00631CE1"/>
    <w:rsid w:val="00635DFF"/>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51914"/>
    <w:rsid w:val="00C64E85"/>
    <w:rsid w:val="00C7601A"/>
    <w:rsid w:val="00C77DB3"/>
    <w:rsid w:val="00C86411"/>
    <w:rsid w:val="00C86AE0"/>
    <w:rsid w:val="00C872FD"/>
    <w:rsid w:val="00C90E62"/>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IJSREM JOURNAL</cp:lastModifiedBy>
  <cp:revision>112</cp:revision>
  <cp:lastPrinted>2017-08-02T06:58:00Z</cp:lastPrinted>
  <dcterms:created xsi:type="dcterms:W3CDTF">2017-10-24T06:02:00Z</dcterms:created>
  <dcterms:modified xsi:type="dcterms:W3CDTF">2025-12-02T04:22:00Z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